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009</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lastRenderedPageBreak/>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6 mois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xml:space="preserve">: les actions concrètes que vous avez prises </w:t>
            </w:r>
            <w:r>
              <w:rPr>
                <w:rFonts w:ascii="Arial" w:hAnsi="Arial" w:cs="Arial"/>
                <w:i/>
                <w:sz w:val="16"/>
                <w:szCs w:val="16"/>
                <w:lang w:val="fr-FR"/>
              </w:rPr>
              <w:lastRenderedPageBreak/>
              <w:t>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color w:val="000000" w:themeColor="text1"/>
              </w:rPr>
              <w:t>disposer d’un réseau pluridisciplinaire dans le secteur de l’enseignement (CPMS, directions, CSA, etc.) dans la zone couverte par le Pôle</w:t>
            </w:r>
            <w:r>
              <w:rPr>
                <w:rFonts w:ascii="Arial" w:hAnsi="Arial" w:cs="Arial"/>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connaissance des structures et de l’organisation des établissements des différents PO partenaires et coopérants du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szCs w:val="20"/>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1946</Words>
  <Characters>10704</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2022-05-12T07:32:00Z</dcterms:created>
  <dcterms:modified xsi:type="dcterms:W3CDTF">2022-05-12T07:32:00Z</dcterms:modified>
</cp:coreProperties>
</file>